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A99" w:rsidRPr="00880426" w:rsidRDefault="00FA0A99" w:rsidP="00FA0A99">
      <w:pPr>
        <w:ind w:right="-426"/>
        <w:rPr>
          <w:b/>
          <w:bCs/>
          <w:sz w:val="26"/>
          <w:rtl/>
        </w:rPr>
      </w:pPr>
    </w:p>
    <w:p w:rsidR="00FA0A99" w:rsidRDefault="00FA0A99" w:rsidP="00FA0A99">
      <w:pPr>
        <w:spacing w:line="360" w:lineRule="auto"/>
        <w:jc w:val="center"/>
        <w:rPr>
          <w:b/>
          <w:bCs/>
          <w:sz w:val="32"/>
          <w:szCs w:val="32"/>
          <w:u w:val="single"/>
          <w:rtl/>
        </w:rPr>
      </w:pPr>
    </w:p>
    <w:p w:rsidR="00FA0A99" w:rsidRDefault="00FA0A99" w:rsidP="00FA0A99">
      <w:pPr>
        <w:spacing w:line="360" w:lineRule="auto"/>
        <w:jc w:val="center"/>
        <w:rPr>
          <w:sz w:val="32"/>
          <w:szCs w:val="32"/>
          <w:u w:val="single"/>
          <w:rtl/>
        </w:rPr>
      </w:pPr>
      <w:r w:rsidRPr="00DB7CD7">
        <w:rPr>
          <w:rFonts w:hint="cs"/>
          <w:b/>
          <w:bCs/>
          <w:sz w:val="32"/>
          <w:szCs w:val="32"/>
          <w:u w:val="single"/>
          <w:rtl/>
        </w:rPr>
        <w:t xml:space="preserve">מכרז  פומבי </w:t>
      </w:r>
      <w:r>
        <w:rPr>
          <w:rFonts w:hint="cs"/>
          <w:b/>
          <w:bCs/>
          <w:sz w:val="32"/>
          <w:szCs w:val="32"/>
          <w:u w:val="single"/>
          <w:rtl/>
        </w:rPr>
        <w:t>38/12 לייעוץ בקביעת מדיניות ונוהלי פיקוח על חיפוש והפקת נפט וגז בישראל</w:t>
      </w:r>
    </w:p>
    <w:p w:rsidR="00FA0A99" w:rsidRDefault="00FA0A99" w:rsidP="00FA0A99">
      <w:pPr>
        <w:spacing w:before="240" w:line="360" w:lineRule="auto"/>
        <w:jc w:val="both"/>
        <w:rPr>
          <w:szCs w:val="24"/>
          <w:rtl/>
        </w:rPr>
      </w:pPr>
      <w:r w:rsidRPr="00DB7F9A">
        <w:rPr>
          <w:szCs w:val="24"/>
          <w:rtl/>
        </w:rPr>
        <w:t>משרד ה</w:t>
      </w:r>
      <w:r w:rsidRPr="00DB7F9A">
        <w:rPr>
          <w:rFonts w:hint="cs"/>
          <w:szCs w:val="24"/>
          <w:rtl/>
        </w:rPr>
        <w:t>אנרגיה והמים</w:t>
      </w:r>
      <w:r>
        <w:rPr>
          <w:rFonts w:hint="cs"/>
          <w:szCs w:val="24"/>
          <w:rtl/>
        </w:rPr>
        <w:t xml:space="preserve"> </w:t>
      </w:r>
      <w:r>
        <w:rPr>
          <w:szCs w:val="24"/>
        </w:rPr>
        <w:t>)</w:t>
      </w:r>
      <w:r>
        <w:rPr>
          <w:rFonts w:hint="cs"/>
          <w:szCs w:val="24"/>
          <w:rtl/>
        </w:rPr>
        <w:t>"המשרד") מפרסם מכרז בינלאומי לשרותי ייעוץ בנושא קביעת מדיניות ונוהלי פיקוח על חיפוש והפקת נפט וגז בישראל. הייעוץ יכלול הכנת חו"ד והמלצות בתחומים הבאים:</w:t>
      </w:r>
    </w:p>
    <w:p w:rsidR="00FA0A99" w:rsidRDefault="00FA0A99" w:rsidP="00FA0A99">
      <w:pPr>
        <w:spacing w:before="240" w:line="360" w:lineRule="auto"/>
        <w:jc w:val="both"/>
        <w:rPr>
          <w:szCs w:val="24"/>
          <w:rtl/>
        </w:rPr>
      </w:pPr>
      <w:r>
        <w:rPr>
          <w:rFonts w:hint="cs"/>
          <w:szCs w:val="24"/>
          <w:rtl/>
        </w:rPr>
        <w:t>א.  נהלים ותקנות לביצוע פעילות חיפושים והפקה בזכויות נפט</w:t>
      </w:r>
    </w:p>
    <w:p w:rsidR="00FA0A99" w:rsidRDefault="00FA0A99" w:rsidP="00FA0A99">
      <w:pPr>
        <w:spacing w:before="120" w:line="360" w:lineRule="auto"/>
        <w:jc w:val="both"/>
        <w:rPr>
          <w:szCs w:val="24"/>
          <w:rtl/>
        </w:rPr>
      </w:pPr>
      <w:r>
        <w:rPr>
          <w:rFonts w:hint="cs"/>
          <w:szCs w:val="24"/>
          <w:rtl/>
        </w:rPr>
        <w:t>ב.  נהלים ותקנות לשמירה על בריאות, בטיחות והגנת הסביבה בפעילות חיפושים והפקה</w:t>
      </w:r>
    </w:p>
    <w:p w:rsidR="00FA0A99" w:rsidRDefault="00FA0A99" w:rsidP="00FA0A99">
      <w:pPr>
        <w:spacing w:before="120" w:line="360" w:lineRule="auto"/>
        <w:jc w:val="both"/>
        <w:rPr>
          <w:szCs w:val="24"/>
          <w:rtl/>
        </w:rPr>
      </w:pPr>
      <w:r>
        <w:rPr>
          <w:rFonts w:hint="cs"/>
          <w:szCs w:val="24"/>
          <w:rtl/>
        </w:rPr>
        <w:t>ג.   מדיניות ונהלים לחלוקת זכויות נפט</w:t>
      </w:r>
    </w:p>
    <w:p w:rsidR="00FA0A99" w:rsidRDefault="00FA0A99" w:rsidP="00FA0A99">
      <w:pPr>
        <w:spacing w:before="120" w:line="360" w:lineRule="auto"/>
        <w:jc w:val="both"/>
        <w:rPr>
          <w:szCs w:val="24"/>
          <w:rtl/>
        </w:rPr>
      </w:pPr>
      <w:r>
        <w:rPr>
          <w:rFonts w:hint="cs"/>
          <w:szCs w:val="24"/>
          <w:rtl/>
        </w:rPr>
        <w:t>ד.  הערכת עתודות נפט וגז בים וביבשה.</w:t>
      </w:r>
    </w:p>
    <w:p w:rsidR="00FA0A99" w:rsidRPr="008B64C0" w:rsidRDefault="00FA0A99" w:rsidP="00FA0A99">
      <w:pPr>
        <w:pStyle w:val="ab"/>
        <w:spacing w:before="240" w:line="360" w:lineRule="auto"/>
        <w:ind w:left="-1"/>
        <w:contextualSpacing w:val="0"/>
        <w:jc w:val="both"/>
        <w:rPr>
          <w:b/>
          <w:bCs/>
          <w:szCs w:val="24"/>
          <w:u w:val="single"/>
        </w:rPr>
      </w:pPr>
      <w:r w:rsidRPr="008B64C0">
        <w:rPr>
          <w:rFonts w:hint="cs"/>
          <w:b/>
          <w:bCs/>
          <w:szCs w:val="24"/>
          <w:u w:val="single"/>
          <w:rtl/>
        </w:rPr>
        <w:t>כללי</w:t>
      </w:r>
    </w:p>
    <w:p w:rsidR="00FA0A99" w:rsidRDefault="00FA0A99" w:rsidP="00FA0A99">
      <w:pPr>
        <w:tabs>
          <w:tab w:val="left" w:pos="2200"/>
        </w:tabs>
        <w:autoSpaceDE w:val="0"/>
        <w:autoSpaceDN w:val="0"/>
        <w:adjustRightInd w:val="0"/>
        <w:spacing w:line="360" w:lineRule="auto"/>
        <w:ind w:left="-1"/>
        <w:jc w:val="both"/>
        <w:rPr>
          <w:rFonts w:ascii="Arial" w:hAnsi="Arial"/>
          <w:b/>
          <w:szCs w:val="24"/>
          <w:rtl/>
        </w:rPr>
      </w:pPr>
    </w:p>
    <w:p w:rsidR="00FA0A99" w:rsidRDefault="00FA0A99" w:rsidP="00FA0A99">
      <w:pPr>
        <w:tabs>
          <w:tab w:val="left" w:pos="2200"/>
        </w:tabs>
        <w:autoSpaceDE w:val="0"/>
        <w:autoSpaceDN w:val="0"/>
        <w:adjustRightInd w:val="0"/>
        <w:spacing w:line="360" w:lineRule="auto"/>
        <w:ind w:left="-1"/>
        <w:jc w:val="both"/>
        <w:rPr>
          <w:rFonts w:ascii="Arial" w:hAnsi="Arial"/>
          <w:b/>
          <w:szCs w:val="24"/>
          <w:rtl/>
        </w:rPr>
      </w:pPr>
      <w:r w:rsidRPr="008B64C0">
        <w:rPr>
          <w:rFonts w:ascii="Arial" w:hAnsi="Arial" w:hint="cs"/>
          <w:b/>
          <w:szCs w:val="24"/>
          <w:rtl/>
        </w:rPr>
        <w:t xml:space="preserve">תקופת ההסכם תהיה למשך 12 חודשים. למשרד בלבד תהיה האופציה להאריך את ההסכם לתקופות נוספות ובלבד שסך תקופת ההתקשרות לא תעלה על 4 (ארבע) שנים מיום חתימת ההסכם. </w:t>
      </w:r>
    </w:p>
    <w:p w:rsidR="00FA0A99" w:rsidRDefault="00FA0A99" w:rsidP="00FA0A99">
      <w:pPr>
        <w:tabs>
          <w:tab w:val="left" w:pos="2200"/>
        </w:tabs>
        <w:autoSpaceDE w:val="0"/>
        <w:autoSpaceDN w:val="0"/>
        <w:adjustRightInd w:val="0"/>
        <w:spacing w:line="360" w:lineRule="auto"/>
        <w:ind w:left="-1"/>
        <w:jc w:val="both"/>
        <w:rPr>
          <w:rFonts w:ascii="Arial" w:hAnsi="Arial"/>
          <w:b/>
          <w:szCs w:val="24"/>
          <w:rtl/>
        </w:rPr>
      </w:pPr>
    </w:p>
    <w:p w:rsidR="00FA0A99" w:rsidRDefault="00FA0A99" w:rsidP="00FA0A9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המשרד שכתובתו: </w:t>
      </w:r>
      <w:hyperlink r:id="rId12" w:history="1">
        <w:r w:rsidRPr="00753138">
          <w:rPr>
            <w:rStyle w:val="Hyperlink"/>
            <w:rFonts w:ascii="Arial" w:hAnsi="Arial"/>
            <w:b/>
            <w:szCs w:val="24"/>
          </w:rPr>
          <w:t>www.energy.gov.il</w:t>
        </w:r>
      </w:hyperlink>
    </w:p>
    <w:p w:rsidR="00FA0A99" w:rsidRDefault="00FA0A99" w:rsidP="00FA0A99">
      <w:pPr>
        <w:tabs>
          <w:tab w:val="left" w:pos="2200"/>
        </w:tabs>
        <w:autoSpaceDE w:val="0"/>
        <w:autoSpaceDN w:val="0"/>
        <w:adjustRightInd w:val="0"/>
        <w:spacing w:line="360" w:lineRule="auto"/>
        <w:ind w:left="-1"/>
        <w:jc w:val="both"/>
        <w:rPr>
          <w:rFonts w:ascii="Arial" w:hAnsi="Arial"/>
          <w:b/>
          <w:szCs w:val="24"/>
          <w:rtl/>
        </w:rPr>
      </w:pPr>
    </w:p>
    <w:p w:rsidR="00FA0A99" w:rsidRPr="00753138" w:rsidRDefault="00FA0A99" w:rsidP="00FA0A99">
      <w:pPr>
        <w:tabs>
          <w:tab w:val="left" w:pos="2200"/>
        </w:tabs>
        <w:autoSpaceDE w:val="0"/>
        <w:autoSpaceDN w:val="0"/>
        <w:adjustRightInd w:val="0"/>
        <w:spacing w:line="360" w:lineRule="auto"/>
        <w:ind w:left="-1"/>
        <w:jc w:val="both"/>
        <w:rPr>
          <w:rFonts w:ascii="Arial" w:hAnsi="Arial"/>
          <w:b/>
          <w:szCs w:val="24"/>
        </w:rPr>
      </w:pPr>
      <w:r w:rsidRPr="001F4BDF">
        <w:rPr>
          <w:rFonts w:ascii="Arial" w:hAnsi="Arial"/>
          <w:b/>
          <w:szCs w:val="24"/>
          <w:rtl/>
        </w:rPr>
        <w:t>את מעטפ</w:t>
      </w:r>
      <w:r>
        <w:rPr>
          <w:rFonts w:ascii="Arial" w:hAnsi="Arial" w:hint="cs"/>
          <w:b/>
          <w:szCs w:val="24"/>
          <w:rtl/>
        </w:rPr>
        <w:t>ת המכרז</w:t>
      </w:r>
      <w:r w:rsidRPr="001F4BDF">
        <w:rPr>
          <w:rFonts w:ascii="Arial" w:hAnsi="Arial"/>
          <w:b/>
          <w:szCs w:val="24"/>
          <w:rtl/>
        </w:rPr>
        <w:t xml:space="preserve">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w:t>
      </w:r>
      <w:proofErr w:type="spellStart"/>
      <w:r w:rsidRPr="001F4BDF">
        <w:rPr>
          <w:rFonts w:ascii="Arial" w:hAnsi="Arial"/>
          <w:b/>
          <w:szCs w:val="24"/>
          <w:rtl/>
        </w:rPr>
        <w:t>רח</w:t>
      </w:r>
      <w:proofErr w:type="spellEnd"/>
      <w:r w:rsidRPr="001F4BDF">
        <w:rPr>
          <w:rFonts w:ascii="Arial" w:hAnsi="Arial"/>
          <w:b/>
          <w:szCs w:val="24"/>
          <w:rtl/>
        </w:rPr>
        <w:t xml:space="preserve">'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 </w:t>
      </w:r>
      <w:r w:rsidRPr="000F7F28">
        <w:rPr>
          <w:rFonts w:ascii="Arial" w:hAnsi="Arial" w:hint="cs"/>
          <w:bCs/>
          <w:szCs w:val="24"/>
          <w:u w:val="single"/>
          <w:rtl/>
        </w:rPr>
        <w:t xml:space="preserve">מיום </w:t>
      </w:r>
      <w:r>
        <w:rPr>
          <w:rFonts w:ascii="Arial" w:hAnsi="Arial" w:hint="cs"/>
          <w:bCs/>
          <w:szCs w:val="24"/>
          <w:u w:val="single"/>
          <w:rtl/>
        </w:rPr>
        <w:t xml:space="preserve">29.10.2012 </w:t>
      </w:r>
      <w:r w:rsidRPr="000F7F28">
        <w:rPr>
          <w:rFonts w:ascii="Arial" w:hAnsi="Arial" w:hint="cs"/>
          <w:bCs/>
          <w:szCs w:val="24"/>
          <w:u w:val="single"/>
          <w:rtl/>
        </w:rPr>
        <w:t>בשעה 00</w:t>
      </w:r>
      <w:r w:rsidRPr="000F7F28">
        <w:rPr>
          <w:rFonts w:ascii="Arial" w:hAnsi="Arial"/>
          <w:bCs/>
          <w:szCs w:val="24"/>
          <w:u w:val="single"/>
        </w:rPr>
        <w:t>:</w:t>
      </w:r>
      <w:r w:rsidRPr="000F7F28">
        <w:rPr>
          <w:rFonts w:ascii="Arial" w:hAnsi="Arial" w:hint="cs"/>
          <w:bCs/>
          <w:szCs w:val="24"/>
          <w:u w:val="single"/>
          <w:rtl/>
        </w:rPr>
        <w:t>14.</w:t>
      </w:r>
      <w:r>
        <w:rPr>
          <w:rFonts w:ascii="Arial" w:hAnsi="Arial" w:hint="cs"/>
          <w:bCs/>
          <w:szCs w:val="24"/>
          <w:u w:val="single"/>
          <w:rtl/>
        </w:rPr>
        <w:t xml:space="preserve"> </w:t>
      </w:r>
      <w:r w:rsidRPr="00753138">
        <w:rPr>
          <w:rFonts w:ascii="Arial" w:hAnsi="Arial" w:hint="cs"/>
          <w:bCs/>
          <w:szCs w:val="24"/>
          <w:rtl/>
        </w:rPr>
        <w:t xml:space="preserve">הצעת </w:t>
      </w:r>
      <w:r>
        <w:rPr>
          <w:rFonts w:ascii="Arial" w:hAnsi="Arial" w:hint="cs"/>
          <w:bCs/>
          <w:szCs w:val="24"/>
          <w:rtl/>
        </w:rPr>
        <w:t>ה</w:t>
      </w:r>
      <w:r w:rsidRPr="00753138">
        <w:rPr>
          <w:rFonts w:ascii="Arial" w:hAnsi="Arial" w:hint="cs"/>
          <w:bCs/>
          <w:szCs w:val="24"/>
          <w:rtl/>
        </w:rPr>
        <w:t xml:space="preserve">מחיר תוגש במעטפה נפרדת (בתוך </w:t>
      </w:r>
      <w:r>
        <w:rPr>
          <w:rFonts w:ascii="Arial" w:hAnsi="Arial" w:hint="cs"/>
          <w:bCs/>
          <w:szCs w:val="24"/>
          <w:rtl/>
        </w:rPr>
        <w:t xml:space="preserve">מעטפת </w:t>
      </w:r>
      <w:r w:rsidRPr="00753138">
        <w:rPr>
          <w:rFonts w:ascii="Arial" w:hAnsi="Arial" w:hint="cs"/>
          <w:bCs/>
          <w:szCs w:val="24"/>
          <w:rtl/>
        </w:rPr>
        <w:t>ההצעה) על גבי המעטפה יצוין שם המכרז ומספרו.</w:t>
      </w:r>
    </w:p>
    <w:p w:rsidR="00FA0A99" w:rsidRPr="00753138" w:rsidRDefault="00FA0A99" w:rsidP="00FA0A9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בכל מקרה של סתירה בין האמור בהודעה זו לאמור במסמכי המכרז - יגבר האמור במסכי המכרז.</w:t>
      </w:r>
    </w:p>
    <w:p w:rsidR="00FA0A99" w:rsidRPr="00753138" w:rsidRDefault="00FA0A99" w:rsidP="00FA0A99">
      <w:pPr>
        <w:pStyle w:val="ab"/>
        <w:spacing w:before="240" w:line="360" w:lineRule="auto"/>
        <w:ind w:left="-1"/>
        <w:contextualSpacing w:val="0"/>
        <w:jc w:val="both"/>
        <w:rPr>
          <w:b/>
          <w:bCs/>
          <w:szCs w:val="24"/>
          <w:u w:val="single"/>
          <w:rtl/>
        </w:rPr>
      </w:pPr>
      <w:r w:rsidRPr="00753138">
        <w:rPr>
          <w:rFonts w:hint="cs"/>
          <w:b/>
          <w:bCs/>
          <w:szCs w:val="24"/>
          <w:u w:val="single"/>
          <w:rtl/>
        </w:rPr>
        <w:t>הליך הבהרות:</w:t>
      </w:r>
    </w:p>
    <w:p w:rsidR="00FA0A99" w:rsidRDefault="00FA0A99" w:rsidP="00FA0A99">
      <w:pPr>
        <w:spacing w:line="360" w:lineRule="auto"/>
        <w:ind w:left="-1"/>
        <w:jc w:val="both"/>
        <w:rPr>
          <w:b/>
          <w:bCs/>
          <w:szCs w:val="24"/>
          <w:u w:val="single"/>
          <w:rtl/>
        </w:rPr>
      </w:pPr>
      <w:r w:rsidRPr="000753B2">
        <w:rPr>
          <w:rFonts w:hint="cs"/>
          <w:szCs w:val="24"/>
          <w:rtl/>
        </w:rPr>
        <w:t xml:space="preserve">בשאלות והבהרות יש לפנות בכתב עד לתאריך </w:t>
      </w:r>
      <w:r>
        <w:rPr>
          <w:rFonts w:hint="cs"/>
          <w:b/>
          <w:bCs/>
          <w:szCs w:val="24"/>
          <w:u w:val="single"/>
          <w:rtl/>
        </w:rPr>
        <w:t>10.10.2012</w:t>
      </w:r>
      <w:r w:rsidRPr="00627D63">
        <w:rPr>
          <w:rFonts w:hint="cs"/>
          <w:b/>
          <w:bCs/>
          <w:szCs w:val="24"/>
          <w:rtl/>
        </w:rPr>
        <w:t xml:space="preserve"> </w:t>
      </w:r>
      <w:r w:rsidRPr="000753B2">
        <w:rPr>
          <w:rFonts w:hint="cs"/>
          <w:szCs w:val="24"/>
          <w:rtl/>
        </w:rPr>
        <w:t xml:space="preserve">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 xml:space="preserve">ם והתקשרויות, בפקס מספר:  02-5006764 או בכתובת מייל </w:t>
      </w:r>
      <w:r>
        <w:rPr>
          <w:szCs w:val="24"/>
        </w:rPr>
        <w:t>itamsut@energy.gov.il</w:t>
      </w:r>
      <w:r>
        <w:rPr>
          <w:rFonts w:hint="cs"/>
          <w:szCs w:val="24"/>
          <w:rtl/>
        </w:rPr>
        <w:t>.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החל מיום </w:t>
      </w:r>
      <w:r>
        <w:rPr>
          <w:rFonts w:hint="cs"/>
          <w:b/>
          <w:bCs/>
          <w:szCs w:val="24"/>
          <w:u w:val="single"/>
          <w:rtl/>
        </w:rPr>
        <w:t>16.10.2012</w:t>
      </w:r>
      <w:r>
        <w:rPr>
          <w:rFonts w:hint="cs"/>
          <w:szCs w:val="24"/>
          <w:rtl/>
        </w:rPr>
        <w:t>.</w:t>
      </w:r>
    </w:p>
    <w:p w:rsidR="00FA0A99" w:rsidRDefault="00FA0A99" w:rsidP="00FA0A99">
      <w:pPr>
        <w:spacing w:line="360" w:lineRule="auto"/>
        <w:ind w:left="-1"/>
        <w:jc w:val="both"/>
        <w:rPr>
          <w:szCs w:val="24"/>
          <w:rtl/>
        </w:rPr>
      </w:pPr>
      <w:r>
        <w:rPr>
          <w:rFonts w:hint="cs"/>
          <w:szCs w:val="24"/>
          <w:rtl/>
        </w:rPr>
        <w:t xml:space="preserve">                                                                               </w:t>
      </w:r>
    </w:p>
    <w:p w:rsidR="00FA0A99" w:rsidRPr="000753B2" w:rsidRDefault="00FA0A99" w:rsidP="00FA0A99">
      <w:pPr>
        <w:spacing w:line="360" w:lineRule="auto"/>
        <w:ind w:left="-1"/>
        <w:jc w:val="right"/>
        <w:rPr>
          <w:szCs w:val="24"/>
          <w:rtl/>
        </w:rPr>
      </w:pPr>
      <w:r>
        <w:rPr>
          <w:rFonts w:hint="cs"/>
          <w:szCs w:val="24"/>
          <w:rtl/>
        </w:rPr>
        <w:t xml:space="preserve">  </w:t>
      </w:r>
      <w:r w:rsidRPr="000753B2">
        <w:rPr>
          <w:szCs w:val="24"/>
          <w:rtl/>
        </w:rPr>
        <w:t>בברכה,</w:t>
      </w:r>
    </w:p>
    <w:p w:rsidR="00FA0A99" w:rsidRPr="000753B2" w:rsidRDefault="00FA0A99" w:rsidP="00FA0A99">
      <w:pPr>
        <w:tabs>
          <w:tab w:val="center" w:pos="8078"/>
        </w:tabs>
        <w:spacing w:line="360" w:lineRule="auto"/>
        <w:ind w:left="-1"/>
        <w:jc w:val="right"/>
        <w:rPr>
          <w:szCs w:val="24"/>
          <w:rtl/>
        </w:rPr>
      </w:pPr>
      <w:r w:rsidRPr="000753B2">
        <w:rPr>
          <w:szCs w:val="24"/>
          <w:rtl/>
        </w:rPr>
        <w:tab/>
        <w:t>ועדת המכרזים</w:t>
      </w:r>
    </w:p>
    <w:p w:rsidR="00FA0A99" w:rsidRDefault="00FA0A99" w:rsidP="00FA0A99">
      <w:pPr>
        <w:spacing w:line="360" w:lineRule="auto"/>
        <w:jc w:val="center"/>
        <w:rPr>
          <w:b/>
          <w:bCs/>
          <w:szCs w:val="24"/>
        </w:rPr>
      </w:pPr>
    </w:p>
    <w:p w:rsidR="00F37326" w:rsidRPr="00FA0A99" w:rsidRDefault="00F37326" w:rsidP="00FA0A99">
      <w:pPr>
        <w:rPr>
          <w:szCs w:val="24"/>
        </w:rPr>
      </w:pPr>
    </w:p>
    <w:sectPr w:rsidR="00F37326" w:rsidRPr="00FA0A99" w:rsidSect="00B520F7">
      <w:headerReference w:type="even" r:id="rId13"/>
      <w:headerReference w:type="default" r:id="rId14"/>
      <w:footerReference w:type="default" r:id="rId15"/>
      <w:headerReference w:type="first" r:id="rId16"/>
      <w:footerReference w:type="first" r:id="rId17"/>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7201" w:rsidRDefault="00057201">
      <w:r>
        <w:separator/>
      </w:r>
    </w:p>
  </w:endnote>
  <w:endnote w:type="continuationSeparator" w:id="0">
    <w:p w:rsidR="00057201" w:rsidRDefault="000572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201" w:rsidRDefault="00057201" w:rsidP="00712673">
    <w:pPr>
      <w:pStyle w:val="a7"/>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7201" w:rsidRPr="00581672" w:rsidRDefault="00057201"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201" w:rsidRDefault="00057201" w:rsidP="00524880">
    <w:pPr>
      <w:pStyle w:val="a7"/>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7201" w:rsidRPr="00FC5DE0" w:rsidRDefault="00057201"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7201" w:rsidRDefault="00057201">
      <w:r>
        <w:separator/>
      </w:r>
    </w:p>
  </w:footnote>
  <w:footnote w:type="continuationSeparator" w:id="0">
    <w:p w:rsidR="00057201" w:rsidRDefault="000572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201" w:rsidRDefault="00DA18B3">
    <w:pPr>
      <w:pStyle w:val="a3"/>
      <w:framePr w:wrap="around" w:vAnchor="text" w:hAnchor="margin" w:xAlign="center" w:y="1"/>
      <w:rPr>
        <w:rStyle w:val="a6"/>
        <w:rtl/>
      </w:rPr>
    </w:pPr>
    <w:r>
      <w:rPr>
        <w:rStyle w:val="a6"/>
        <w:rtl/>
      </w:rPr>
      <w:fldChar w:fldCharType="begin"/>
    </w:r>
    <w:r w:rsidR="00057201">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201" w:rsidRPr="00D3749A" w:rsidRDefault="0005720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A18B3" w:rsidRPr="00D3749A">
          <w:rPr>
            <w:b/>
            <w:bCs/>
          </w:rPr>
          <w:fldChar w:fldCharType="begin"/>
        </w:r>
        <w:r w:rsidRPr="00D3749A">
          <w:rPr>
            <w:b/>
            <w:bCs/>
          </w:rPr>
          <w:instrText xml:space="preserve"> PAGE   \* MERGEFORMAT </w:instrText>
        </w:r>
        <w:r w:rsidR="00DA18B3" w:rsidRPr="00D3749A">
          <w:rPr>
            <w:b/>
            <w:bCs/>
          </w:rPr>
          <w:fldChar w:fldCharType="separate"/>
        </w:r>
        <w:r w:rsidRPr="0098267B">
          <w:rPr>
            <w:rFonts w:cs="Calibri"/>
            <w:b/>
            <w:bCs/>
            <w:noProof/>
            <w:rtl/>
            <w:lang w:val="he-IL"/>
          </w:rPr>
          <w:t>2</w:t>
        </w:r>
        <w:r w:rsidR="00DA18B3" w:rsidRPr="00D3749A">
          <w:rPr>
            <w:b/>
            <w:bCs/>
          </w:rPr>
          <w:fldChar w:fldCharType="end"/>
        </w:r>
        <w:r w:rsidRPr="00D3749A">
          <w:rPr>
            <w:rFonts w:hint="cs"/>
            <w:b/>
            <w:bCs/>
            <w:rtl/>
          </w:rPr>
          <w:t xml:space="preserve"> -</w:t>
        </w:r>
      </w:sdtContent>
    </w:sdt>
  </w:p>
  <w:p w:rsidR="00057201" w:rsidRPr="008B766D" w:rsidRDefault="0005720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201" w:rsidRDefault="00057201" w:rsidP="00EA4FBF">
    <w:pPr>
      <w:pStyle w:val="a3"/>
      <w:spacing w:line="276" w:lineRule="auto"/>
      <w:jc w:val="center"/>
      <w:rPr>
        <w:b/>
        <w:bCs/>
        <w:szCs w:val="40"/>
        <w:rtl/>
      </w:rPr>
    </w:pPr>
    <w:r>
      <w:rPr>
        <w:b/>
        <w:bCs/>
        <w:szCs w:val="40"/>
        <w:rtl/>
      </w:rPr>
      <w:t>מדינת ישראל</w:t>
    </w:r>
  </w:p>
  <w:p w:rsidR="00057201" w:rsidRPr="0090713A" w:rsidRDefault="00057201"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1"/>
    <w:footnote w:id="0"/>
  </w:footnotePr>
  <w:endnotePr>
    <w:endnote w:id="-1"/>
    <w:endnote w:id="0"/>
  </w:endnotePr>
  <w:compat/>
  <w:rsids>
    <w:rsidRoot w:val="00F42907"/>
    <w:rsid w:val="0000576F"/>
    <w:rsid w:val="00055768"/>
    <w:rsid w:val="00057201"/>
    <w:rsid w:val="00064800"/>
    <w:rsid w:val="000705A8"/>
    <w:rsid w:val="000744F2"/>
    <w:rsid w:val="00084894"/>
    <w:rsid w:val="00087565"/>
    <w:rsid w:val="0009042F"/>
    <w:rsid w:val="0009109A"/>
    <w:rsid w:val="000A42A0"/>
    <w:rsid w:val="000A474B"/>
    <w:rsid w:val="000B7D78"/>
    <w:rsid w:val="000C47C5"/>
    <w:rsid w:val="000F0C8E"/>
    <w:rsid w:val="00144716"/>
    <w:rsid w:val="001617C9"/>
    <w:rsid w:val="0016193E"/>
    <w:rsid w:val="001858F8"/>
    <w:rsid w:val="00187CC8"/>
    <w:rsid w:val="001A0FEB"/>
    <w:rsid w:val="001B2F89"/>
    <w:rsid w:val="001B56C4"/>
    <w:rsid w:val="001E6F0E"/>
    <w:rsid w:val="00217083"/>
    <w:rsid w:val="00222968"/>
    <w:rsid w:val="00223E43"/>
    <w:rsid w:val="0022754A"/>
    <w:rsid w:val="002768DC"/>
    <w:rsid w:val="002A377D"/>
    <w:rsid w:val="002C636C"/>
    <w:rsid w:val="002D3504"/>
    <w:rsid w:val="00311B81"/>
    <w:rsid w:val="00320EE5"/>
    <w:rsid w:val="00321798"/>
    <w:rsid w:val="00340E66"/>
    <w:rsid w:val="003503FF"/>
    <w:rsid w:val="00376817"/>
    <w:rsid w:val="003A30BD"/>
    <w:rsid w:val="004507AE"/>
    <w:rsid w:val="00451C6D"/>
    <w:rsid w:val="00454AA8"/>
    <w:rsid w:val="00457790"/>
    <w:rsid w:val="0047091B"/>
    <w:rsid w:val="004B49E7"/>
    <w:rsid w:val="004B5ED3"/>
    <w:rsid w:val="004F3C15"/>
    <w:rsid w:val="00516757"/>
    <w:rsid w:val="00520340"/>
    <w:rsid w:val="00524880"/>
    <w:rsid w:val="00533FCA"/>
    <w:rsid w:val="0053624C"/>
    <w:rsid w:val="0054114E"/>
    <w:rsid w:val="0054428A"/>
    <w:rsid w:val="00572795"/>
    <w:rsid w:val="00581672"/>
    <w:rsid w:val="005A0DC2"/>
    <w:rsid w:val="005A4613"/>
    <w:rsid w:val="005D5135"/>
    <w:rsid w:val="005E1D69"/>
    <w:rsid w:val="005E5E77"/>
    <w:rsid w:val="00610303"/>
    <w:rsid w:val="00624679"/>
    <w:rsid w:val="00627D63"/>
    <w:rsid w:val="006426A9"/>
    <w:rsid w:val="006500F2"/>
    <w:rsid w:val="006724AB"/>
    <w:rsid w:val="0069709F"/>
    <w:rsid w:val="006B4469"/>
    <w:rsid w:val="006B7F74"/>
    <w:rsid w:val="006C2C32"/>
    <w:rsid w:val="006D2289"/>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0713A"/>
    <w:rsid w:val="00911C83"/>
    <w:rsid w:val="0092165D"/>
    <w:rsid w:val="00924837"/>
    <w:rsid w:val="00941814"/>
    <w:rsid w:val="00956911"/>
    <w:rsid w:val="00964B15"/>
    <w:rsid w:val="0098267B"/>
    <w:rsid w:val="009C1E95"/>
    <w:rsid w:val="009F0B13"/>
    <w:rsid w:val="009F25EB"/>
    <w:rsid w:val="009F2EC3"/>
    <w:rsid w:val="00A0165F"/>
    <w:rsid w:val="00A104F4"/>
    <w:rsid w:val="00A107E7"/>
    <w:rsid w:val="00A16D89"/>
    <w:rsid w:val="00A17B34"/>
    <w:rsid w:val="00A32262"/>
    <w:rsid w:val="00A359BD"/>
    <w:rsid w:val="00A63F7A"/>
    <w:rsid w:val="00A94E1B"/>
    <w:rsid w:val="00A96C51"/>
    <w:rsid w:val="00A977B7"/>
    <w:rsid w:val="00AB7390"/>
    <w:rsid w:val="00AD02A9"/>
    <w:rsid w:val="00AD6F36"/>
    <w:rsid w:val="00AD73C1"/>
    <w:rsid w:val="00AD762C"/>
    <w:rsid w:val="00AE59BD"/>
    <w:rsid w:val="00AF211F"/>
    <w:rsid w:val="00B1246E"/>
    <w:rsid w:val="00B15F6B"/>
    <w:rsid w:val="00B2533E"/>
    <w:rsid w:val="00B300E0"/>
    <w:rsid w:val="00B520F7"/>
    <w:rsid w:val="00B60E2D"/>
    <w:rsid w:val="00B84B35"/>
    <w:rsid w:val="00BC0E05"/>
    <w:rsid w:val="00BC5CC1"/>
    <w:rsid w:val="00BF39D6"/>
    <w:rsid w:val="00BF712F"/>
    <w:rsid w:val="00C0686B"/>
    <w:rsid w:val="00C15681"/>
    <w:rsid w:val="00C33B51"/>
    <w:rsid w:val="00C5046C"/>
    <w:rsid w:val="00C516A1"/>
    <w:rsid w:val="00C668B6"/>
    <w:rsid w:val="00C80AD2"/>
    <w:rsid w:val="00C80CDB"/>
    <w:rsid w:val="00C855B6"/>
    <w:rsid w:val="00C91F7F"/>
    <w:rsid w:val="00CA2BA0"/>
    <w:rsid w:val="00CB33E5"/>
    <w:rsid w:val="00CD19F2"/>
    <w:rsid w:val="00D2513A"/>
    <w:rsid w:val="00D35E0D"/>
    <w:rsid w:val="00D3749A"/>
    <w:rsid w:val="00D37641"/>
    <w:rsid w:val="00D60F68"/>
    <w:rsid w:val="00D6507C"/>
    <w:rsid w:val="00D732B0"/>
    <w:rsid w:val="00D8153D"/>
    <w:rsid w:val="00DA18B3"/>
    <w:rsid w:val="00DA7FDB"/>
    <w:rsid w:val="00DB23A4"/>
    <w:rsid w:val="00DD792B"/>
    <w:rsid w:val="00DE05FC"/>
    <w:rsid w:val="00E001A4"/>
    <w:rsid w:val="00E40280"/>
    <w:rsid w:val="00E50EE0"/>
    <w:rsid w:val="00E742CA"/>
    <w:rsid w:val="00E90583"/>
    <w:rsid w:val="00EA38C5"/>
    <w:rsid w:val="00EA4FBF"/>
    <w:rsid w:val="00EB319A"/>
    <w:rsid w:val="00EC6CEF"/>
    <w:rsid w:val="00ED37B2"/>
    <w:rsid w:val="00F076B3"/>
    <w:rsid w:val="00F14C94"/>
    <w:rsid w:val="00F23680"/>
    <w:rsid w:val="00F37326"/>
    <w:rsid w:val="00F41F84"/>
    <w:rsid w:val="00F42907"/>
    <w:rsid w:val="00F5586C"/>
    <w:rsid w:val="00F63432"/>
    <w:rsid w:val="00F96CCA"/>
    <w:rsid w:val="00FA0A99"/>
    <w:rsid w:val="00FA0EAD"/>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חת_485_2012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בספטמבר 2012</DocumentCreateDateEnglish>
    <DocumentCreateDateHebrew xmlns="8f5b83e0-a1d3-486c-bd07-833a425c74af">י"ט באלול התשע"ב</DocumentCreateDateHebrew>
    <SubjectDocument xmlns="8f5b83e0-a1d3-486c-bd07-833a425c74af">פרסום מכרז 38/12 רגולציה בעברית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06/09/2012 02:09;33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485</CounterString>
    <LastLockUser xmlns="8f5b83e0-a1d3-486c-bd07-833a425c74af" xsi:nil="true"/>
    <LastCheckOutDate xmlns="8f5b83e0-a1d3-486c-bd07-833a425c74af">06/09/2012 01:18;28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HT_485_2012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e131ced751565921e1a9525e29aa2bbb">
  <xsd:schema xmlns:xsd="http://www.w3.org/2001/XMLSchema" xmlns:p="http://schemas.microsoft.com/office/2006/metadata/properties" xmlns:ns2="8f5b83e0-a1d3-486c-bd07-833a425c74af" xmlns:ns3="87b98568-e8c7-4058-bf31-e11803adaf85" targetNamespace="http://schemas.microsoft.com/office/2006/metadata/properties" ma:root="true" ma:fieldsID="930e653f9fa71323390c9c67c83bd9e1"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95ED0653-B58E-4234-9502-0D52C8788C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A02E47F-D0A1-4394-853B-69EC8E75E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239</Words>
  <Characters>1359</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2012-09-06T14:18:00Z</cp:lastPrinted>
  <dcterms:created xsi:type="dcterms:W3CDTF">2012-09-10T12:11:00Z</dcterms:created>
  <dcterms:modified xsi:type="dcterms:W3CDTF">2012-09-10T12:11:00Z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